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4"/>
          <w:szCs w:val="34"/>
          <w:u w:val="single"/>
          <w:rtl w:val="1"/>
        </w:rPr>
        <w:t xml:space="preserve">مقترح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4"/>
          <w:szCs w:val="34"/>
          <w:u w:val="single"/>
          <w:rtl w:val="1"/>
        </w:rPr>
        <w:t xml:space="preserve">حملة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4"/>
          <w:szCs w:val="34"/>
          <w:u w:val="single"/>
          <w:rtl w:val="1"/>
        </w:rPr>
        <w:t xml:space="preserve">مناصرة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5348" w:tblpY="417"/>
        <w:bidiVisual w:val="1"/>
        <w:tblW w:w="2130.0" w:type="dxa"/>
        <w:jc w:val="left"/>
        <w:tblLayout w:type="fixed"/>
        <w:tblLook w:val="0400"/>
      </w:tblPr>
      <w:tblGrid>
        <w:gridCol w:w="2130"/>
        <w:tblGridChange w:id="0">
          <w:tblGrid>
            <w:gridCol w:w="2130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1"/>
              </w:rPr>
              <w:t xml:space="preserve">لوغو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logo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60" w:tblpY="141.123046875"/>
        <w:bidiVisual w:val="1"/>
        <w:tblW w:w="11115.0" w:type="dxa"/>
        <w:jc w:val="left"/>
        <w:tblInd w:w="-676.0" w:type="dxa"/>
        <w:tblLayout w:type="fixed"/>
        <w:tblLook w:val="0400"/>
      </w:tblPr>
      <w:tblGrid>
        <w:gridCol w:w="4744"/>
        <w:gridCol w:w="6371"/>
        <w:tblGridChange w:id="0">
          <w:tblGrid>
            <w:gridCol w:w="4744"/>
            <w:gridCol w:w="63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الحملة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التدخل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المنطقة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المستهدفة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الأنشطة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التأسيس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والموظفات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بالمنظمة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العنوان</w:t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البريد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سكايب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فيسبوك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الشخص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المفوض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المنظمة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قانونيا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الممول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بالشخص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المفوض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العنوان</w:t>
            </w:r>
          </w:p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البريد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سكايب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فيسبوك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انستغرام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إكس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مقترح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الحملة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قيمة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الكاملة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الممول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تمويلات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أخرى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مساهمات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المنظمة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تبرعات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ومنح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أخرى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إلخ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bidi w:val="1"/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خلفية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ضمنها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واستبيانات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ولقاءات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لتحليلها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دقيق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85200c"/>
          <w:sz w:val="20"/>
          <w:szCs w:val="2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أساسية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القضية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القضية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تهدف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الحملة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معالجتها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الرؤية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والتحليل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الدقيق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للمشكلات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تساهم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بعدم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تحقق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الرؤية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أهمية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وملاءمة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حملة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المناصرة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المشكلة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تحليل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شامل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للقضية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والإحصاءات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ونتائج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البحوث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الصلة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الأسباب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الجذرية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والعواقب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ملخص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تنفيذي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bidi w:val="1"/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نظرة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موجزة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الحملة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وأهدافها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والنقاط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البارزة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الرئيسية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المنطقة</w:t>
      </w:r>
      <w:r w:rsidDel="00000000" w:rsidR="00000000" w:rsidRPr="00000000">
        <w:rPr>
          <w:rFonts w:ascii="Arial" w:cs="Arial" w:eastAsia="Arial" w:hAnsi="Arial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الحملة</w:t>
      </w:r>
    </w:p>
    <w:p w:rsidR="00000000" w:rsidDel="00000000" w:rsidP="00000000" w:rsidRDefault="00000000" w:rsidRPr="00000000" w14:paraId="0000004B">
      <w:pPr>
        <w:numPr>
          <w:ilvl w:val="0"/>
          <w:numId w:val="19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رسائل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واضحة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وموجزة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ومقنعة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9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تخصيص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الرسائل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لمختلف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الجماهير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المستهدفة</w:t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الأهداف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0"/>
        </w:rPr>
        <w:t xml:space="preserve">Outcomes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51">
      <w:pPr>
        <w:numPr>
          <w:ilvl w:val="0"/>
          <w:numId w:val="17"/>
        </w:numPr>
        <w:bidi w:val="1"/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محددة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مرحلية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بوضوح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bidi w:val="1"/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bidi w:val="1"/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</w:p>
    <w:p w:rsidR="00000000" w:rsidDel="00000000" w:rsidP="00000000" w:rsidRDefault="00000000" w:rsidRPr="00000000" w14:paraId="00000054">
      <w:pPr>
        <w:bidi w:val="1"/>
        <w:spacing w:after="0" w:line="48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="480" w:lineRule="auto"/>
        <w:ind w:left="720" w:firstLine="0"/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أهداف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الحملة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المحددة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0"/>
        </w:rPr>
        <w:t xml:space="preserve">Outputs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محددة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وقابلة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للقياس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وقابلة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للتحقيق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وذات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صلة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ومحددة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زمنيا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SMART</w:t>
      </w:r>
      <w:r w:rsidDel="00000000" w:rsidR="00000000" w:rsidRPr="00000000">
        <w:rPr>
          <w:rFonts w:ascii="Arial" w:cs="Arial" w:eastAsia="Arial" w:hAnsi="Arial"/>
          <w:rtl w:val="1"/>
        </w:rPr>
        <w:t xml:space="preserve">).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bidi w:val="1"/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1.1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bidi w:val="1"/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1.2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bidi w:val="1"/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bidi w:val="1"/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</w:t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المستهدف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وأصحاب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المصلحة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الجماهير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الأولية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والثانوية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أصحاب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المصلحة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الذين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سيشاركون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يتأثرون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بالحملة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bidi w:val="1"/>
        <w:spacing w:after="0" w:line="48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الشركاء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والتحالفات</w:t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المنظمات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الأفراد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المتعاونين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الحملة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أدوار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ومسؤوليات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شريك</w:t>
      </w:r>
    </w:p>
    <w:p w:rsidR="00000000" w:rsidDel="00000000" w:rsidP="00000000" w:rsidRDefault="00000000" w:rsidRPr="00000000" w14:paraId="00000069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3"/>
        </w:numPr>
        <w:bidi w:val="1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استراتيجية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الحملة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bidi w:val="1"/>
        <w:spacing w:after="0" w:before="20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نظرة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الاستراتيجية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الشاملة</w:t>
      </w:r>
      <w:r w:rsidDel="00000000" w:rsidR="00000000" w:rsidRPr="00000000">
        <w:rPr>
          <w:rFonts w:ascii="Arial" w:cs="Arial" w:eastAsia="Arial" w:hAnsi="Arial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التنظيم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الشعبي</w:t>
      </w:r>
      <w:r w:rsidDel="00000000" w:rsidR="00000000" w:rsidRPr="00000000">
        <w:rPr>
          <w:rFonts w:ascii="Arial" w:cs="Arial" w:eastAsia="Arial" w:hAnsi="Arial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والدعوة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للسياسات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والوعي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rtl w:val="1"/>
        </w:rPr>
        <w:t xml:space="preserve">وما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تكتيكات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ونهج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محددة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لاستخدامها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after="200" w:line="240" w:lineRule="auto"/>
        <w:ind w:left="0" w:firstLine="0"/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spacing w:after="200" w:line="240" w:lineRule="auto"/>
        <w:ind w:left="0" w:firstLine="0"/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أنشطة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الحملة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والجدول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الزمني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وصف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مفصل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الأنشطة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المخطط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جدول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زمني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يحدد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موعد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نشاط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الأنشطة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تطبيقها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اونلاين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مباشر</w:t>
      </w:r>
      <w:r w:rsidDel="00000000" w:rsidR="00000000" w:rsidRPr="00000000">
        <w:rPr>
          <w:rFonts w:ascii="Arial" w:cs="Arial" w:eastAsia="Arial" w:hAnsi="Arial"/>
          <w:rtl w:val="1"/>
        </w:rPr>
        <w:t xml:space="preserve">)</w:t>
      </w:r>
    </w:p>
    <w:p w:rsidR="00000000" w:rsidDel="00000000" w:rsidP="00000000" w:rsidRDefault="00000000" w:rsidRPr="00000000" w14:paraId="00000078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الرصد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والتقييم</w:t>
      </w:r>
    </w:p>
    <w:p w:rsidR="00000000" w:rsidDel="00000000" w:rsidP="00000000" w:rsidRDefault="00000000" w:rsidRPr="00000000" w14:paraId="0000007D">
      <w:pPr>
        <w:numPr>
          <w:ilvl w:val="0"/>
          <w:numId w:val="18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خطة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لتتبع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تقدم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ونجاح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الحملة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E">
      <w:pPr>
        <w:numPr>
          <w:ilvl w:val="0"/>
          <w:numId w:val="18"/>
        </w:numPr>
        <w:bidi w:val="1"/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 </w:t>
      </w:r>
      <w:r w:rsidDel="00000000" w:rsidR="00000000" w:rsidRPr="00000000">
        <w:rPr>
          <w:rFonts w:ascii="Arial" w:cs="Arial" w:eastAsia="Arial" w:hAnsi="Arial"/>
          <w:rtl w:val="1"/>
        </w:rPr>
        <w:t xml:space="preserve">مؤشرات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الأداء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الرئيسية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KPIs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لقياس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التأثير</w:t>
      </w:r>
      <w:r w:rsidDel="00000000" w:rsidR="00000000" w:rsidRPr="00000000">
        <w:rPr>
          <w:rFonts w:ascii="Arial" w:cs="Arial" w:eastAsia="Arial" w:hAnsi="Arial"/>
          <w:rtl w:val="1"/>
        </w:rPr>
        <w:t xml:space="preserve">.  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395"/>
        <w:gridCol w:w="1395"/>
        <w:gridCol w:w="1395"/>
        <w:gridCol w:w="1395"/>
        <w:gridCol w:w="1395"/>
        <w:gridCol w:w="1395"/>
        <w:gridCol w:w="1395"/>
        <w:tblGridChange w:id="0">
          <w:tblGrid>
            <w:gridCol w:w="1395"/>
            <w:gridCol w:w="1395"/>
            <w:gridCol w:w="1395"/>
            <w:gridCol w:w="1395"/>
            <w:gridCol w:w="1395"/>
            <w:gridCol w:w="1395"/>
            <w:gridCol w:w="1395"/>
            <w:gridCol w:w="139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1c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1c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Statement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1c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bidi w:val="1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الأساسي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1c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bidi w:val="1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المؤشر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1c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bidi w:val="1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الهدف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التارغت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1c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bidi w:val="1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التحقق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61c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bidi w:val="1"/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تواتر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التحقق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61c0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bidi w:val="1"/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المسؤول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1"/>
              </w:rPr>
              <w:t xml:space="preserve">المتابعة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Outcome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bidi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الهدف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العام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bidi w:val="1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bidi w:val="1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bidi w:val="1"/>
              <w:spacing w:after="0"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Output 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bidi w:val="1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الهدف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المحدد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الأول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Activity 1.1.1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Activity 1.1.2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Activity 1.1.3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Output 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bidi w:val="1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الهدف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المحدد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الثاني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Activity 1.2.1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Activity 1.2.2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3"/>
        </w:numPr>
        <w:bidi w:val="1"/>
        <w:spacing w:after="0" w:line="48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المناصب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الوظيفية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وأسماء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الموظفين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المشاركين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الحملة</w:t>
      </w:r>
    </w:p>
    <w:p w:rsidR="00000000" w:rsidDel="00000000" w:rsidP="00000000" w:rsidRDefault="00000000" w:rsidRPr="00000000" w14:paraId="000000D8">
      <w:pPr>
        <w:numPr>
          <w:ilvl w:val="0"/>
          <w:numId w:val="14"/>
        </w:numPr>
        <w:bidi w:val="1"/>
        <w:spacing w:after="0" w:line="480" w:lineRule="auto"/>
        <w:ind w:left="720" w:hanging="360"/>
        <w:rPr>
          <w:rFonts w:ascii="Times New Roman" w:cs="Times New Roman" w:eastAsia="Times New Roman" w:hAnsi="Times New Roman"/>
          <w:b w:val="1"/>
          <w:color w:val="85200c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والمنصب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المدة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D9">
      <w:pPr>
        <w:bidi w:val="1"/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الموارد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والميزانية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تفاصيل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الميزانية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الموظفين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والمواد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والأحداث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والمزيد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مصادر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والمساهمات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العينية</w:t>
      </w:r>
      <w:r w:rsidDel="00000000" w:rsidR="00000000" w:rsidRPr="00000000">
        <w:rPr>
          <w:rFonts w:ascii="Arial" w:cs="Arial" w:eastAsia="Arial" w:hAnsi="Arial"/>
          <w:rtl w:val="1"/>
        </w:rPr>
        <w:t xml:space="preserve">. </w:t>
      </w:r>
    </w:p>
    <w:p w:rsidR="00000000" w:rsidDel="00000000" w:rsidP="00000000" w:rsidRDefault="00000000" w:rsidRPr="00000000" w14:paraId="000000D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DF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تقييم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المخاطر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  </w:t>
      </w:r>
      <w:r w:rsidDel="00000000" w:rsidR="00000000" w:rsidRPr="00000000">
        <w:rPr>
          <w:rFonts w:ascii="Arial" w:cs="Arial" w:eastAsia="Arial" w:hAnsi="Arial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المخاطر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والتحديات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المحتملة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تواجهها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الحملة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استراتيجيات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للتخفيف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المخاطر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معالجتها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E3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والاستدامة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6"/>
        </w:numPr>
        <w:bidi w:val="1"/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استراتيجيات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وخطوات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ضمان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استدامة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أثر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الحملة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التمويل</w:t>
      </w:r>
    </w:p>
    <w:p w:rsidR="00000000" w:rsidDel="00000000" w:rsidP="00000000" w:rsidRDefault="00000000" w:rsidRPr="00000000" w14:paraId="000000E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E6">
      <w:pPr>
        <w:numPr>
          <w:ilvl w:val="0"/>
          <w:numId w:val="13"/>
        </w:numPr>
        <w:bidi w:val="1"/>
        <w:spacing w:after="0" w:line="48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لائحة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الملاحق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5200c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6"/>
        </w:numPr>
        <w:bidi w:val="1"/>
        <w:spacing w:after="20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الملاحق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بطريقة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تسلسلية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ومو</w:t>
      </w:r>
      <w:r w:rsidDel="00000000" w:rsidR="00000000" w:rsidRPr="00000000">
        <w:rPr>
          <w:rFonts w:ascii="Arial" w:cs="Arial" w:eastAsia="Arial" w:hAnsi="Arial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rtl w:val="1"/>
        </w:rPr>
        <w:t xml:space="preserve">ضحة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بالأرقام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الملحق</w:t>
      </w:r>
      <w:r w:rsidDel="00000000" w:rsidR="00000000" w:rsidRPr="00000000">
        <w:rPr>
          <w:rFonts w:ascii="Arial" w:cs="Arial" w:eastAsia="Arial" w:hAnsi="Arial"/>
          <w:rtl w:val="1"/>
        </w:rPr>
        <w:t xml:space="preserve"> 01-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الخطة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الزمنية</w:t>
      </w:r>
      <w:r w:rsidDel="00000000" w:rsidR="00000000" w:rsidRPr="00000000">
        <w:rPr>
          <w:rFonts w:ascii="Arial" w:cs="Arial" w:eastAsia="Arial" w:hAnsi="Arial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الميزانية</w:t>
      </w:r>
      <w:r w:rsidDel="00000000" w:rsidR="00000000" w:rsidRPr="00000000">
        <w:rPr>
          <w:rFonts w:ascii="Arial" w:cs="Arial" w:eastAsia="Arial" w:hAnsi="Arial"/>
          <w:rtl w:val="1"/>
        </w:rPr>
        <w:t xml:space="preserve">...)</w:t>
      </w:r>
    </w:p>
    <w:p w:rsidR="00000000" w:rsidDel="00000000" w:rsidP="00000000" w:rsidRDefault="00000000" w:rsidRPr="00000000" w14:paraId="000000E8">
      <w:pPr>
        <w:bidi w:val="1"/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54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99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L1zb94ow1PEauRha9fTbFMfEQ==">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